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96" w:rsidRPr="00D10696" w:rsidRDefault="00D10696" w:rsidP="00D10696">
      <w:pPr>
        <w:jc w:val="center"/>
        <w:rPr>
          <w:rFonts w:asciiTheme="majorHAnsi" w:hAnsiTheme="majorHAnsi"/>
          <w:b/>
          <w:sz w:val="28"/>
          <w:szCs w:val="28"/>
        </w:rPr>
      </w:pPr>
      <w:r w:rsidRPr="00D10696">
        <w:rPr>
          <w:rFonts w:asciiTheme="majorHAnsi" w:hAnsiTheme="majorHAnsi"/>
          <w:b/>
          <w:sz w:val="28"/>
          <w:szCs w:val="28"/>
        </w:rPr>
        <w:t>Ich bin dann man weg</w:t>
      </w:r>
      <w:r w:rsidR="00083BBA">
        <w:rPr>
          <w:rFonts w:asciiTheme="majorHAnsi" w:hAnsiTheme="majorHAnsi"/>
          <w:b/>
          <w:sz w:val="28"/>
          <w:szCs w:val="28"/>
        </w:rPr>
        <w:t xml:space="preserve"> </w:t>
      </w:r>
      <w:bookmarkStart w:id="0" w:name="_GoBack"/>
      <w:bookmarkEnd w:id="0"/>
      <w:r w:rsidRPr="00D10696">
        <w:rPr>
          <w:rFonts w:asciiTheme="majorHAnsi" w:hAnsiTheme="majorHAnsi"/>
          <w:b/>
          <w:sz w:val="28"/>
          <w:szCs w:val="28"/>
        </w:rPr>
        <w:t>… eine Reise auf dem Jakobsweg vs. Luther?</w:t>
      </w:r>
    </w:p>
    <w:p w:rsidR="00D10696" w:rsidRDefault="00D10696" w:rsidP="00D10696">
      <w:pPr>
        <w:jc w:val="center"/>
        <w:rPr>
          <w:rFonts w:asciiTheme="majorHAnsi" w:hAnsiTheme="majorHAnsi"/>
          <w:b/>
          <w:sz w:val="28"/>
          <w:szCs w:val="28"/>
        </w:rPr>
      </w:pPr>
      <w:r w:rsidRPr="00D10696">
        <w:rPr>
          <w:rFonts w:asciiTheme="majorHAnsi" w:hAnsiTheme="majorHAnsi"/>
          <w:b/>
          <w:sz w:val="28"/>
          <w:szCs w:val="28"/>
        </w:rPr>
        <w:t>Impulse für die Sek. I</w:t>
      </w:r>
    </w:p>
    <w:p w:rsidR="00D10696" w:rsidRDefault="00D10696" w:rsidP="00D10696">
      <w:pPr>
        <w:rPr>
          <w:rFonts w:asciiTheme="majorHAnsi" w:hAnsiTheme="majorHAnsi"/>
          <w:b/>
          <w:sz w:val="28"/>
          <w:szCs w:val="28"/>
        </w:rPr>
      </w:pPr>
    </w:p>
    <w:p w:rsidR="00D10696" w:rsidRDefault="00D10696" w:rsidP="00D10696">
      <w:pPr>
        <w:rPr>
          <w:rFonts w:asciiTheme="majorHAnsi" w:hAnsiTheme="majorHAnsi"/>
          <w:b/>
          <w:sz w:val="28"/>
          <w:szCs w:val="28"/>
        </w:rPr>
      </w:pPr>
      <w:r>
        <w:rPr>
          <w:rFonts w:asciiTheme="majorHAnsi" w:hAnsiTheme="majorHAnsi"/>
          <w:b/>
          <w:sz w:val="28"/>
          <w:szCs w:val="28"/>
        </w:rPr>
        <w:t>Einordnung in das KC der IGS</w:t>
      </w:r>
    </w:p>
    <w:p w:rsidR="00D10696" w:rsidRPr="00C83092" w:rsidRDefault="00D10696" w:rsidP="00D10696">
      <w:pPr>
        <w:rPr>
          <w:rFonts w:asciiTheme="majorHAnsi" w:hAnsiTheme="majorHAnsi"/>
          <w:sz w:val="28"/>
          <w:szCs w:val="28"/>
        </w:rPr>
      </w:pPr>
      <w:r w:rsidRPr="00C83092">
        <w:rPr>
          <w:rFonts w:asciiTheme="majorHAnsi" w:hAnsiTheme="majorHAnsi"/>
          <w:sz w:val="28"/>
          <w:szCs w:val="28"/>
        </w:rPr>
        <w:t>Die S</w:t>
      </w:r>
      <w:r w:rsidR="00C83092">
        <w:rPr>
          <w:rFonts w:asciiTheme="majorHAnsi" w:hAnsiTheme="majorHAnsi"/>
          <w:sz w:val="28"/>
          <w:szCs w:val="28"/>
        </w:rPr>
        <w:t>chülerinnen und Schüler…</w:t>
      </w:r>
    </w:p>
    <w:p w:rsidR="00D10696" w:rsidRPr="00C83092" w:rsidRDefault="00C83092" w:rsidP="00D10696">
      <w:pPr>
        <w:rPr>
          <w:rFonts w:asciiTheme="majorHAnsi" w:hAnsiTheme="majorHAnsi"/>
          <w:sz w:val="24"/>
          <w:szCs w:val="28"/>
        </w:rPr>
      </w:pPr>
      <w:r w:rsidRPr="00C83092">
        <w:rPr>
          <w:rFonts w:asciiTheme="majorHAnsi" w:hAnsiTheme="majorHAnsi"/>
          <w:sz w:val="28"/>
          <w:szCs w:val="28"/>
        </w:rPr>
        <w:t xml:space="preserve">…erläutern, dass nach christlichem Verständnis die bedingungslose Zuwendung Gottes zum Menschen die Voraussetzung der Erlösung bildet und beurteilen diese. </w:t>
      </w:r>
      <w:r w:rsidRPr="00C83092">
        <w:rPr>
          <w:rFonts w:asciiTheme="majorHAnsi" w:hAnsiTheme="majorHAnsi"/>
          <w:sz w:val="24"/>
          <w:szCs w:val="28"/>
        </w:rPr>
        <w:t>(Kompetenzbereich: Nach dem Menschen fragen)</w:t>
      </w:r>
    </w:p>
    <w:p w:rsidR="00C83092" w:rsidRDefault="00C83092" w:rsidP="00C83092">
      <w:pPr>
        <w:rPr>
          <w:rFonts w:asciiTheme="majorHAnsi" w:hAnsiTheme="majorHAnsi"/>
          <w:sz w:val="24"/>
          <w:szCs w:val="28"/>
        </w:rPr>
      </w:pPr>
      <w:r w:rsidRPr="00C83092">
        <w:rPr>
          <w:rFonts w:asciiTheme="majorHAnsi" w:hAnsiTheme="majorHAnsi"/>
          <w:sz w:val="28"/>
          <w:szCs w:val="28"/>
        </w:rPr>
        <w:t xml:space="preserve">…beschreiben Gemeinsamkeiten und Verschiedenheiten der Konfessionen und kommunizieren respektvoll mit deren Vertretern. </w:t>
      </w:r>
      <w:r w:rsidRPr="00C83092">
        <w:rPr>
          <w:rFonts w:asciiTheme="majorHAnsi" w:hAnsiTheme="majorHAnsi"/>
          <w:sz w:val="24"/>
          <w:szCs w:val="28"/>
        </w:rPr>
        <w:t>(Kompetenzbereich: Nach Glaube und Kirche fragen)</w:t>
      </w:r>
    </w:p>
    <w:p w:rsidR="00FC6BF6" w:rsidRDefault="00FC6BF6" w:rsidP="00C83092">
      <w:pPr>
        <w:rPr>
          <w:rFonts w:asciiTheme="majorHAnsi" w:hAnsiTheme="majorHAnsi"/>
          <w:b/>
          <w:sz w:val="28"/>
          <w:szCs w:val="28"/>
        </w:rPr>
      </w:pPr>
    </w:p>
    <w:p w:rsidR="00C83092" w:rsidRPr="00C83092" w:rsidRDefault="00C83092" w:rsidP="00C83092">
      <w:pPr>
        <w:rPr>
          <w:rFonts w:asciiTheme="majorHAnsi" w:hAnsiTheme="majorHAnsi"/>
          <w:b/>
          <w:sz w:val="24"/>
          <w:szCs w:val="28"/>
        </w:rPr>
      </w:pPr>
      <w:r>
        <w:rPr>
          <w:rFonts w:asciiTheme="majorHAnsi" w:hAnsiTheme="majorHAnsi"/>
          <w:b/>
          <w:sz w:val="28"/>
          <w:szCs w:val="28"/>
        </w:rPr>
        <w:t>Warum</w:t>
      </w:r>
      <w:r w:rsidRPr="00C83092">
        <w:rPr>
          <w:rFonts w:asciiTheme="majorHAnsi" w:hAnsiTheme="majorHAnsi"/>
          <w:b/>
          <w:sz w:val="28"/>
          <w:szCs w:val="28"/>
        </w:rPr>
        <w:t xml:space="preserve"> pilgern?</w:t>
      </w:r>
    </w:p>
    <w:p w:rsidR="00C83092" w:rsidRDefault="00C83092" w:rsidP="00C83092">
      <w:pPr>
        <w:pStyle w:val="StandardWeb"/>
        <w:spacing w:line="276" w:lineRule="auto"/>
        <w:jc w:val="both"/>
        <w:rPr>
          <w:rFonts w:asciiTheme="majorHAnsi" w:hAnsiTheme="majorHAnsi"/>
          <w:sz w:val="28"/>
          <w:szCs w:val="28"/>
        </w:rPr>
      </w:pPr>
      <w:r w:rsidRPr="00D10696">
        <w:rPr>
          <w:rFonts w:asciiTheme="majorHAnsi" w:hAnsiTheme="majorHAnsi"/>
          <w:sz w:val="28"/>
          <w:szCs w:val="28"/>
        </w:rPr>
        <w:t xml:space="preserve">Menschen im Mittelalter pilgerten nach Santiago de Compostela und zu anderen Pilgerzielen, weil sie auf </w:t>
      </w:r>
      <w:r w:rsidRPr="00C83092">
        <w:rPr>
          <w:rFonts w:asciiTheme="majorHAnsi" w:hAnsiTheme="majorHAnsi"/>
          <w:sz w:val="28"/>
          <w:szCs w:val="28"/>
          <w:u w:val="single"/>
        </w:rPr>
        <w:t>Vergebung ihrer Sünden</w:t>
      </w:r>
      <w:r w:rsidRPr="00D10696">
        <w:rPr>
          <w:rFonts w:asciiTheme="majorHAnsi" w:hAnsiTheme="majorHAnsi"/>
          <w:sz w:val="28"/>
          <w:szCs w:val="28"/>
        </w:rPr>
        <w:t xml:space="preserve"> oder auf eine wundersame Heilung ihrer Krankheiten hofften. Dieses Ziel der Pilger findet man schon in der Wurzel des Wortes </w:t>
      </w:r>
      <w:r w:rsidR="00FC6BF6">
        <w:rPr>
          <w:rFonts w:asciiTheme="majorHAnsi" w:hAnsiTheme="majorHAnsi"/>
          <w:sz w:val="28"/>
          <w:szCs w:val="28"/>
        </w:rPr>
        <w:t>„</w:t>
      </w:r>
      <w:r w:rsidRPr="00D10696">
        <w:rPr>
          <w:rFonts w:asciiTheme="majorHAnsi" w:hAnsiTheme="majorHAnsi"/>
          <w:sz w:val="28"/>
          <w:szCs w:val="28"/>
        </w:rPr>
        <w:t>pilgern</w:t>
      </w:r>
      <w:r w:rsidR="00FC6BF6">
        <w:rPr>
          <w:rFonts w:asciiTheme="majorHAnsi" w:hAnsiTheme="majorHAnsi"/>
          <w:sz w:val="28"/>
          <w:szCs w:val="28"/>
        </w:rPr>
        <w:t>“ wieder, das</w:t>
      </w:r>
      <w:r w:rsidRPr="00D10696">
        <w:rPr>
          <w:rFonts w:asciiTheme="majorHAnsi" w:hAnsiTheme="majorHAnsi"/>
          <w:sz w:val="28"/>
          <w:szCs w:val="28"/>
        </w:rPr>
        <w:t xml:space="preserve"> sich im lateinischen </w:t>
      </w:r>
      <w:r w:rsidR="00FC6BF6">
        <w:rPr>
          <w:rFonts w:asciiTheme="majorHAnsi" w:hAnsiTheme="majorHAnsi"/>
          <w:sz w:val="28"/>
          <w:szCs w:val="28"/>
        </w:rPr>
        <w:t>„</w:t>
      </w:r>
      <w:r w:rsidRPr="00D10696">
        <w:rPr>
          <w:rFonts w:asciiTheme="majorHAnsi" w:hAnsiTheme="majorHAnsi"/>
          <w:sz w:val="28"/>
          <w:szCs w:val="28"/>
        </w:rPr>
        <w:t>peregrinus</w:t>
      </w:r>
      <w:r w:rsidR="00FC6BF6">
        <w:rPr>
          <w:rFonts w:asciiTheme="majorHAnsi" w:hAnsiTheme="majorHAnsi"/>
          <w:sz w:val="28"/>
          <w:szCs w:val="28"/>
        </w:rPr>
        <w:t>“</w:t>
      </w:r>
      <w:r w:rsidRPr="00D10696">
        <w:rPr>
          <w:rFonts w:asciiTheme="majorHAnsi" w:hAnsiTheme="majorHAnsi"/>
          <w:sz w:val="28"/>
          <w:szCs w:val="28"/>
        </w:rPr>
        <w:t xml:space="preserve"> offenbart. Das Wort bedeutet "fremd" und "i</w:t>
      </w:r>
      <w:r>
        <w:rPr>
          <w:rFonts w:asciiTheme="majorHAnsi" w:hAnsiTheme="majorHAnsi"/>
          <w:sz w:val="28"/>
          <w:szCs w:val="28"/>
        </w:rPr>
        <w:t>n der Fremd</w:t>
      </w:r>
      <w:r w:rsidR="00FC6BF6">
        <w:rPr>
          <w:rFonts w:asciiTheme="majorHAnsi" w:hAnsiTheme="majorHAnsi"/>
          <w:sz w:val="28"/>
          <w:szCs w:val="28"/>
        </w:rPr>
        <w:t>e sein Heil suchen".</w:t>
      </w:r>
    </w:p>
    <w:p w:rsidR="00C83092" w:rsidRDefault="00C83092" w:rsidP="00C83092">
      <w:pPr>
        <w:pStyle w:val="StandardWeb"/>
        <w:spacing w:line="276" w:lineRule="auto"/>
        <w:jc w:val="both"/>
        <w:rPr>
          <w:rFonts w:asciiTheme="majorHAnsi" w:hAnsiTheme="majorHAnsi"/>
          <w:sz w:val="28"/>
          <w:szCs w:val="28"/>
        </w:rPr>
      </w:pPr>
      <w:r w:rsidRPr="00D10696">
        <w:rPr>
          <w:rFonts w:asciiTheme="majorHAnsi" w:hAnsiTheme="majorHAnsi"/>
          <w:sz w:val="28"/>
          <w:szCs w:val="28"/>
        </w:rPr>
        <w:t xml:space="preserve">Santiago de Compostela ist in der Gegenwart zum populärsten Pilgerziel Europas geworden. Die Motive der Menschen von heute sind so unterschiedlich, wie die Menschen sind. Hat der eine sportliche Ambitionen, so möchte der andere innere Ruhe finden. Noch ein anderer will sich an der mittelalterlichen Kultur oder der Natur erfreuen. </w:t>
      </w:r>
      <w:r>
        <w:rPr>
          <w:rFonts w:asciiTheme="majorHAnsi" w:hAnsiTheme="majorHAnsi"/>
          <w:sz w:val="28"/>
          <w:szCs w:val="28"/>
        </w:rPr>
        <w:t>Mancher pilgert jedoch noch i</w:t>
      </w:r>
      <w:r w:rsidR="00FC6BF6">
        <w:rPr>
          <w:rFonts w:asciiTheme="majorHAnsi" w:hAnsiTheme="majorHAnsi"/>
          <w:sz w:val="28"/>
          <w:szCs w:val="28"/>
        </w:rPr>
        <w:t>mmer für die Vergebung seiner</w:t>
      </w:r>
      <w:r>
        <w:rPr>
          <w:rFonts w:asciiTheme="majorHAnsi" w:hAnsiTheme="majorHAnsi"/>
          <w:sz w:val="28"/>
          <w:szCs w:val="28"/>
        </w:rPr>
        <w:t xml:space="preserve"> Sünden.</w:t>
      </w:r>
    </w:p>
    <w:p w:rsidR="00FC6BF6" w:rsidRDefault="00FC6BF6" w:rsidP="00D10696">
      <w:pPr>
        <w:pStyle w:val="berschrift1"/>
        <w:spacing w:line="276" w:lineRule="auto"/>
        <w:jc w:val="both"/>
        <w:rPr>
          <w:rFonts w:asciiTheme="majorHAnsi" w:hAnsiTheme="majorHAnsi"/>
          <w:sz w:val="28"/>
          <w:szCs w:val="28"/>
        </w:rPr>
      </w:pPr>
    </w:p>
    <w:p w:rsidR="00D10696" w:rsidRPr="00D10696" w:rsidRDefault="00D10696" w:rsidP="00D10696">
      <w:pPr>
        <w:pStyle w:val="berschrift1"/>
        <w:spacing w:line="276" w:lineRule="auto"/>
        <w:jc w:val="both"/>
        <w:rPr>
          <w:rFonts w:asciiTheme="majorHAnsi" w:hAnsiTheme="majorHAnsi"/>
          <w:b w:val="0"/>
          <w:sz w:val="24"/>
          <w:szCs w:val="28"/>
        </w:rPr>
      </w:pPr>
      <w:r w:rsidRPr="00D10696">
        <w:rPr>
          <w:rFonts w:asciiTheme="majorHAnsi" w:hAnsiTheme="majorHAnsi"/>
          <w:sz w:val="28"/>
          <w:szCs w:val="28"/>
        </w:rPr>
        <w:t>Ablass</w:t>
      </w:r>
      <w:r>
        <w:rPr>
          <w:rFonts w:asciiTheme="majorHAnsi" w:hAnsiTheme="majorHAnsi"/>
          <w:sz w:val="28"/>
          <w:szCs w:val="28"/>
        </w:rPr>
        <w:t xml:space="preserve"> </w:t>
      </w:r>
      <w:r w:rsidRPr="00D10696">
        <w:rPr>
          <w:rFonts w:asciiTheme="majorHAnsi" w:hAnsiTheme="majorHAnsi"/>
          <w:b w:val="0"/>
          <w:sz w:val="24"/>
          <w:szCs w:val="28"/>
        </w:rPr>
        <w:t>(Quelle: Wikipedia)</w:t>
      </w:r>
    </w:p>
    <w:p w:rsidR="00D10696" w:rsidRPr="00D10696" w:rsidRDefault="00D10696" w:rsidP="00D10696">
      <w:pPr>
        <w:spacing w:before="100" w:beforeAutospacing="1" w:after="100" w:afterAutospacing="1"/>
        <w:jc w:val="both"/>
        <w:rPr>
          <w:rFonts w:asciiTheme="majorHAnsi" w:eastAsia="Times New Roman" w:hAnsiTheme="majorHAnsi" w:cs="Times New Roman"/>
          <w:sz w:val="28"/>
          <w:szCs w:val="28"/>
          <w:lang w:eastAsia="de-DE"/>
        </w:rPr>
      </w:pPr>
      <w:r w:rsidRPr="00D10696">
        <w:rPr>
          <w:rFonts w:asciiTheme="majorHAnsi" w:eastAsia="Times New Roman" w:hAnsiTheme="majorHAnsi" w:cs="Times New Roman"/>
          <w:bCs/>
          <w:sz w:val="28"/>
          <w:szCs w:val="28"/>
          <w:lang w:eastAsia="de-DE"/>
        </w:rPr>
        <w:t>Ablass</w:t>
      </w:r>
      <w:r w:rsidRPr="00D10696">
        <w:rPr>
          <w:rFonts w:asciiTheme="majorHAnsi" w:eastAsia="Times New Roman" w:hAnsiTheme="majorHAnsi" w:cs="Times New Roman"/>
          <w:sz w:val="28"/>
          <w:szCs w:val="28"/>
          <w:lang w:eastAsia="de-DE"/>
        </w:rPr>
        <w:t xml:space="preserve"> (</w:t>
      </w:r>
      <w:hyperlink r:id="rId8" w:tooltip="Indulgenz" w:history="1">
        <w:r w:rsidRPr="00D10696">
          <w:rPr>
            <w:rFonts w:asciiTheme="majorHAnsi" w:eastAsia="Times New Roman" w:hAnsiTheme="majorHAnsi" w:cs="Times New Roman"/>
            <w:sz w:val="28"/>
            <w:szCs w:val="28"/>
            <w:lang w:eastAsia="de-DE"/>
          </w:rPr>
          <w:t>Indulgenz</w:t>
        </w:r>
      </w:hyperlink>
      <w:r w:rsidRPr="00D10696">
        <w:rPr>
          <w:rFonts w:asciiTheme="majorHAnsi" w:eastAsia="Times New Roman" w:hAnsiTheme="majorHAnsi" w:cs="Times New Roman"/>
          <w:sz w:val="28"/>
          <w:szCs w:val="28"/>
          <w:lang w:eastAsia="de-DE"/>
        </w:rPr>
        <w:t xml:space="preserve">, </w:t>
      </w:r>
      <w:hyperlink r:id="rId9" w:tooltip="Latein" w:history="1">
        <w:r w:rsidRPr="00D10696">
          <w:rPr>
            <w:rFonts w:asciiTheme="majorHAnsi" w:eastAsia="Times New Roman" w:hAnsiTheme="majorHAnsi" w:cs="Times New Roman"/>
            <w:sz w:val="28"/>
            <w:szCs w:val="28"/>
            <w:lang w:eastAsia="de-DE"/>
          </w:rPr>
          <w:t>lateinisch</w:t>
        </w:r>
      </w:hyperlink>
      <w:r w:rsidRPr="00D10696">
        <w:rPr>
          <w:rFonts w:asciiTheme="majorHAnsi" w:eastAsia="Times New Roman" w:hAnsiTheme="majorHAnsi" w:cs="Times New Roman"/>
          <w:sz w:val="28"/>
          <w:szCs w:val="28"/>
          <w:lang w:eastAsia="de-DE"/>
        </w:rPr>
        <w:t xml:space="preserve"> </w:t>
      </w:r>
      <w:r w:rsidRPr="00D10696">
        <w:rPr>
          <w:rFonts w:asciiTheme="majorHAnsi" w:eastAsia="Times New Roman" w:hAnsiTheme="majorHAnsi" w:cs="Times New Roman"/>
          <w:i/>
          <w:iCs/>
          <w:sz w:val="28"/>
          <w:szCs w:val="28"/>
          <w:lang w:val="la-Latn" w:eastAsia="de-DE"/>
        </w:rPr>
        <w:t>indulgentia</w:t>
      </w:r>
      <w:r w:rsidRPr="00D10696">
        <w:rPr>
          <w:rFonts w:asciiTheme="majorHAnsi" w:eastAsia="Times New Roman" w:hAnsiTheme="majorHAnsi" w:cs="Times New Roman"/>
          <w:sz w:val="28"/>
          <w:szCs w:val="28"/>
          <w:lang w:eastAsia="de-DE"/>
        </w:rPr>
        <w:t xml:space="preserve">, veraltet auch </w:t>
      </w:r>
      <w:r w:rsidRPr="00D10696">
        <w:rPr>
          <w:rFonts w:asciiTheme="majorHAnsi" w:eastAsia="Times New Roman" w:hAnsiTheme="majorHAnsi" w:cs="Times New Roman"/>
          <w:i/>
          <w:iCs/>
          <w:sz w:val="28"/>
          <w:szCs w:val="28"/>
          <w:lang w:eastAsia="de-DE"/>
        </w:rPr>
        <w:t>römische Gnade</w:t>
      </w:r>
      <w:r w:rsidRPr="00D10696">
        <w:rPr>
          <w:rFonts w:asciiTheme="majorHAnsi" w:eastAsia="Times New Roman" w:hAnsiTheme="majorHAnsi" w:cs="Times New Roman"/>
          <w:sz w:val="28"/>
          <w:szCs w:val="28"/>
          <w:lang w:eastAsia="de-DE"/>
        </w:rPr>
        <w:t xml:space="preserve">) ist ein Begriff aus der </w:t>
      </w:r>
      <w:hyperlink r:id="rId10" w:tooltip="Römisch-katholische Kirche" w:history="1">
        <w:r w:rsidRPr="00D10696">
          <w:rPr>
            <w:rFonts w:asciiTheme="majorHAnsi" w:eastAsia="Times New Roman" w:hAnsiTheme="majorHAnsi" w:cs="Times New Roman"/>
            <w:sz w:val="28"/>
            <w:szCs w:val="28"/>
            <w:lang w:eastAsia="de-DE"/>
          </w:rPr>
          <w:t>römisch-katholischen</w:t>
        </w:r>
      </w:hyperlink>
      <w:r w:rsidRPr="00D10696">
        <w:rPr>
          <w:rFonts w:asciiTheme="majorHAnsi" w:eastAsia="Times New Roman" w:hAnsiTheme="majorHAnsi" w:cs="Times New Roman"/>
          <w:sz w:val="28"/>
          <w:szCs w:val="28"/>
          <w:lang w:eastAsia="de-DE"/>
        </w:rPr>
        <w:t xml:space="preserve"> </w:t>
      </w:r>
      <w:hyperlink r:id="rId11" w:tooltip="Theologie" w:history="1">
        <w:r w:rsidRPr="00D10696">
          <w:rPr>
            <w:rFonts w:asciiTheme="majorHAnsi" w:eastAsia="Times New Roman" w:hAnsiTheme="majorHAnsi" w:cs="Times New Roman"/>
            <w:sz w:val="28"/>
            <w:szCs w:val="28"/>
            <w:lang w:eastAsia="de-DE"/>
          </w:rPr>
          <w:t>Theologie</w:t>
        </w:r>
      </w:hyperlink>
      <w:r w:rsidRPr="00D10696">
        <w:rPr>
          <w:rFonts w:asciiTheme="majorHAnsi" w:eastAsia="Times New Roman" w:hAnsiTheme="majorHAnsi" w:cs="Times New Roman"/>
          <w:sz w:val="28"/>
          <w:szCs w:val="28"/>
          <w:lang w:eastAsia="de-DE"/>
        </w:rPr>
        <w:t xml:space="preserve"> und bezeichnet einen </w:t>
      </w:r>
      <w:r w:rsidRPr="00D10696">
        <w:rPr>
          <w:rFonts w:asciiTheme="majorHAnsi" w:eastAsia="Times New Roman" w:hAnsiTheme="majorHAnsi" w:cs="Times New Roman"/>
          <w:sz w:val="28"/>
          <w:szCs w:val="28"/>
          <w:lang w:eastAsia="de-DE"/>
        </w:rPr>
        <w:lastRenderedPageBreak/>
        <w:t xml:space="preserve">von der Kirche geregelten </w:t>
      </w:r>
      <w:hyperlink r:id="rId12" w:tooltip="Gnade" w:history="1">
        <w:r w:rsidRPr="00D10696">
          <w:rPr>
            <w:rFonts w:asciiTheme="majorHAnsi" w:eastAsia="Times New Roman" w:hAnsiTheme="majorHAnsi" w:cs="Times New Roman"/>
            <w:sz w:val="28"/>
            <w:szCs w:val="28"/>
            <w:lang w:eastAsia="de-DE"/>
          </w:rPr>
          <w:t>Gnadenakt</w:t>
        </w:r>
      </w:hyperlink>
      <w:r w:rsidRPr="00D10696">
        <w:rPr>
          <w:rFonts w:asciiTheme="majorHAnsi" w:eastAsia="Times New Roman" w:hAnsiTheme="majorHAnsi" w:cs="Times New Roman"/>
          <w:sz w:val="28"/>
          <w:szCs w:val="28"/>
          <w:lang w:eastAsia="de-DE"/>
        </w:rPr>
        <w:t xml:space="preserve">, durch den nach kirchlicher Lehre </w:t>
      </w:r>
      <w:hyperlink r:id="rId13" w:tooltip="Fegefeuer" w:history="1">
        <w:r w:rsidRPr="00D10696">
          <w:rPr>
            <w:rFonts w:asciiTheme="majorHAnsi" w:eastAsia="Times New Roman" w:hAnsiTheme="majorHAnsi" w:cs="Times New Roman"/>
            <w:sz w:val="28"/>
            <w:szCs w:val="28"/>
            <w:lang w:eastAsia="de-DE"/>
          </w:rPr>
          <w:t>zeitliche Sündenstrafen</w:t>
        </w:r>
      </w:hyperlink>
      <w:r w:rsidRPr="00D10696">
        <w:rPr>
          <w:rFonts w:asciiTheme="majorHAnsi" w:eastAsia="Times New Roman" w:hAnsiTheme="majorHAnsi" w:cs="Times New Roman"/>
          <w:sz w:val="28"/>
          <w:szCs w:val="28"/>
          <w:lang w:eastAsia="de-DE"/>
        </w:rPr>
        <w:t xml:space="preserve"> erlassen (nicht dagegen die </w:t>
      </w:r>
      <w:hyperlink r:id="rId14" w:tooltip="Sünde" w:history="1">
        <w:r w:rsidRPr="00D10696">
          <w:rPr>
            <w:rFonts w:asciiTheme="majorHAnsi" w:eastAsia="Times New Roman" w:hAnsiTheme="majorHAnsi" w:cs="Times New Roman"/>
            <w:sz w:val="28"/>
            <w:szCs w:val="28"/>
            <w:lang w:eastAsia="de-DE"/>
          </w:rPr>
          <w:t>Sünden</w:t>
        </w:r>
      </w:hyperlink>
      <w:r w:rsidRPr="00D10696">
        <w:rPr>
          <w:rFonts w:asciiTheme="majorHAnsi" w:eastAsia="Times New Roman" w:hAnsiTheme="majorHAnsi" w:cs="Times New Roman"/>
          <w:sz w:val="28"/>
          <w:szCs w:val="28"/>
          <w:lang w:eastAsia="de-DE"/>
        </w:rPr>
        <w:t xml:space="preserve"> selbst vergeben) werden. Es gibt Teilablässe oder vollkommene Ablässe, die die Gläubigen unter von der Kirche bestimmten Bedingungen erlangen können.</w:t>
      </w:r>
      <w:hyperlink r:id="rId15" w:anchor="cite_note-1" w:history="1">
        <w:r w:rsidRPr="00D10696">
          <w:rPr>
            <w:rFonts w:asciiTheme="majorHAnsi" w:eastAsia="Times New Roman" w:hAnsiTheme="majorHAnsi" w:cs="Times New Roman"/>
            <w:sz w:val="28"/>
            <w:szCs w:val="28"/>
            <w:vertAlign w:val="superscript"/>
            <w:lang w:eastAsia="de-DE"/>
          </w:rPr>
          <w:t>[1]</w:t>
        </w:r>
      </w:hyperlink>
      <w:r w:rsidRPr="00D10696">
        <w:rPr>
          <w:rFonts w:asciiTheme="majorHAnsi" w:eastAsia="Times New Roman" w:hAnsiTheme="majorHAnsi" w:cs="Times New Roman"/>
          <w:sz w:val="28"/>
          <w:szCs w:val="28"/>
          <w:lang w:eastAsia="de-DE"/>
        </w:rPr>
        <w:t xml:space="preserve"> Ablässe können den Lebenden und den Verstorbenen zugewendet werden.</w:t>
      </w:r>
      <w:hyperlink r:id="rId16" w:anchor="cite_note-2" w:history="1">
        <w:r w:rsidRPr="00D10696">
          <w:rPr>
            <w:rFonts w:asciiTheme="majorHAnsi" w:eastAsia="Times New Roman" w:hAnsiTheme="majorHAnsi" w:cs="Times New Roman"/>
            <w:sz w:val="28"/>
            <w:szCs w:val="28"/>
            <w:vertAlign w:val="superscript"/>
            <w:lang w:eastAsia="de-DE"/>
          </w:rPr>
          <w:t>[2]</w:t>
        </w:r>
      </w:hyperlink>
    </w:p>
    <w:p w:rsidR="00D10696" w:rsidRPr="00D10696" w:rsidRDefault="00D10696" w:rsidP="00D10696">
      <w:pPr>
        <w:spacing w:before="100" w:beforeAutospacing="1" w:after="100" w:afterAutospacing="1"/>
        <w:jc w:val="both"/>
        <w:rPr>
          <w:rFonts w:asciiTheme="majorHAnsi" w:eastAsia="Times New Roman" w:hAnsiTheme="majorHAnsi" w:cs="Times New Roman"/>
          <w:sz w:val="28"/>
          <w:szCs w:val="28"/>
          <w:lang w:eastAsia="de-DE"/>
        </w:rPr>
      </w:pPr>
      <w:r w:rsidRPr="00D10696">
        <w:rPr>
          <w:rFonts w:asciiTheme="majorHAnsi" w:eastAsia="Times New Roman" w:hAnsiTheme="majorHAnsi" w:cs="Times New Roman"/>
          <w:sz w:val="28"/>
          <w:szCs w:val="28"/>
          <w:lang w:eastAsia="de-DE"/>
        </w:rPr>
        <w:t xml:space="preserve">Um einen Ablass zu gewinnen, müssen Katholiken meist ein bestimmtes frommes Werk (z. B. </w:t>
      </w:r>
      <w:hyperlink r:id="rId17" w:tooltip="Wallfahrt" w:history="1">
        <w:r w:rsidRPr="00D10696">
          <w:rPr>
            <w:rFonts w:asciiTheme="majorHAnsi" w:eastAsia="Times New Roman" w:hAnsiTheme="majorHAnsi" w:cs="Times New Roman"/>
            <w:sz w:val="28"/>
            <w:szCs w:val="28"/>
            <w:lang w:eastAsia="de-DE"/>
          </w:rPr>
          <w:t>Wallfahrt</w:t>
        </w:r>
      </w:hyperlink>
      <w:r w:rsidRPr="00D10696">
        <w:rPr>
          <w:rFonts w:asciiTheme="majorHAnsi" w:eastAsia="Times New Roman" w:hAnsiTheme="majorHAnsi" w:cs="Times New Roman"/>
          <w:sz w:val="28"/>
          <w:szCs w:val="28"/>
          <w:lang w:eastAsia="de-DE"/>
        </w:rPr>
        <w:t xml:space="preserve">, Kirchen- oder Friedhofsbesuch, besonderes </w:t>
      </w:r>
      <w:hyperlink r:id="rId18" w:tooltip="Gebet" w:history="1">
        <w:r w:rsidRPr="00D10696">
          <w:rPr>
            <w:rFonts w:asciiTheme="majorHAnsi" w:eastAsia="Times New Roman" w:hAnsiTheme="majorHAnsi" w:cs="Times New Roman"/>
            <w:sz w:val="28"/>
            <w:szCs w:val="28"/>
            <w:lang w:eastAsia="de-DE"/>
          </w:rPr>
          <w:t>Gebet</w:t>
        </w:r>
      </w:hyperlink>
      <w:r w:rsidRPr="00D10696">
        <w:rPr>
          <w:rFonts w:asciiTheme="majorHAnsi" w:eastAsia="Times New Roman" w:hAnsiTheme="majorHAnsi" w:cs="Times New Roman"/>
          <w:sz w:val="28"/>
          <w:szCs w:val="28"/>
          <w:lang w:eastAsia="de-DE"/>
        </w:rPr>
        <w:t xml:space="preserve">) in angemessener Disposition vollbringen. Deshalb gehört zu den Voraussetzungen für die Ablassgewinnung die sakramentale </w:t>
      </w:r>
      <w:hyperlink r:id="rId19" w:tooltip="Beichte" w:history="1">
        <w:r w:rsidRPr="00D10696">
          <w:rPr>
            <w:rFonts w:asciiTheme="majorHAnsi" w:eastAsia="Times New Roman" w:hAnsiTheme="majorHAnsi" w:cs="Times New Roman"/>
            <w:sz w:val="28"/>
            <w:szCs w:val="28"/>
            <w:lang w:eastAsia="de-DE"/>
          </w:rPr>
          <w:t>Beichte</w:t>
        </w:r>
      </w:hyperlink>
      <w:r w:rsidRPr="00D10696">
        <w:rPr>
          <w:rFonts w:asciiTheme="majorHAnsi" w:eastAsia="Times New Roman" w:hAnsiTheme="majorHAnsi" w:cs="Times New Roman"/>
          <w:sz w:val="28"/>
          <w:szCs w:val="28"/>
          <w:lang w:eastAsia="de-DE"/>
        </w:rPr>
        <w:t xml:space="preserve">, der Empfang der heiligen </w:t>
      </w:r>
      <w:hyperlink r:id="rId20" w:tooltip="Kommunion" w:history="1">
        <w:r w:rsidRPr="00D10696">
          <w:rPr>
            <w:rFonts w:asciiTheme="majorHAnsi" w:eastAsia="Times New Roman" w:hAnsiTheme="majorHAnsi" w:cs="Times New Roman"/>
            <w:sz w:val="28"/>
            <w:szCs w:val="28"/>
            <w:lang w:eastAsia="de-DE"/>
          </w:rPr>
          <w:t>Kommunion</w:t>
        </w:r>
      </w:hyperlink>
      <w:r w:rsidR="00FC6BF6">
        <w:rPr>
          <w:rFonts w:asciiTheme="majorHAnsi" w:eastAsia="Times New Roman" w:hAnsiTheme="majorHAnsi" w:cs="Times New Roman"/>
          <w:sz w:val="28"/>
          <w:szCs w:val="28"/>
          <w:lang w:eastAsia="de-DE"/>
        </w:rPr>
        <w:t xml:space="preserve"> und das Gebet. </w:t>
      </w:r>
      <w:r w:rsidRPr="00D10696">
        <w:rPr>
          <w:rFonts w:asciiTheme="majorHAnsi" w:eastAsia="Times New Roman" w:hAnsiTheme="majorHAnsi" w:cs="Times New Roman"/>
          <w:sz w:val="28"/>
          <w:szCs w:val="28"/>
          <w:lang w:eastAsia="de-DE"/>
        </w:rPr>
        <w:t xml:space="preserve">Ablässe kann der Gläubige nicht nur für sich selbst, sondern auch für das </w:t>
      </w:r>
      <w:hyperlink r:id="rId21" w:tooltip="Seelenheil" w:history="1">
        <w:r w:rsidRPr="00D10696">
          <w:rPr>
            <w:rFonts w:asciiTheme="majorHAnsi" w:eastAsia="Times New Roman" w:hAnsiTheme="majorHAnsi" w:cs="Times New Roman"/>
            <w:sz w:val="28"/>
            <w:szCs w:val="28"/>
            <w:lang w:eastAsia="de-DE"/>
          </w:rPr>
          <w:t>Seelenheil</w:t>
        </w:r>
      </w:hyperlink>
      <w:r w:rsidRPr="00D10696">
        <w:rPr>
          <w:rFonts w:asciiTheme="majorHAnsi" w:eastAsia="Times New Roman" w:hAnsiTheme="majorHAnsi" w:cs="Times New Roman"/>
          <w:sz w:val="28"/>
          <w:szCs w:val="28"/>
          <w:lang w:eastAsia="de-DE"/>
        </w:rPr>
        <w:t xml:space="preserve"> eines Verstorbenen gewinnen. Die Gewinnung eines Ablasses kann von der zuständigen kirchlichen Behörde in einem sogenannten </w:t>
      </w:r>
      <w:hyperlink r:id="rId22" w:tooltip="Ablassbrief" w:history="1">
        <w:r w:rsidRPr="00D10696">
          <w:rPr>
            <w:rFonts w:asciiTheme="majorHAnsi" w:eastAsia="Times New Roman" w:hAnsiTheme="majorHAnsi" w:cs="Times New Roman"/>
            <w:sz w:val="28"/>
            <w:szCs w:val="28"/>
            <w:lang w:eastAsia="de-DE"/>
          </w:rPr>
          <w:t>Ablassbrief</w:t>
        </w:r>
      </w:hyperlink>
      <w:r w:rsidRPr="00D10696">
        <w:rPr>
          <w:rFonts w:asciiTheme="majorHAnsi" w:eastAsia="Times New Roman" w:hAnsiTheme="majorHAnsi" w:cs="Times New Roman"/>
          <w:sz w:val="28"/>
          <w:szCs w:val="28"/>
          <w:lang w:eastAsia="de-DE"/>
        </w:rPr>
        <w:t xml:space="preserve"> bestätigt werden.</w:t>
      </w:r>
    </w:p>
    <w:p w:rsidR="00D10696" w:rsidRPr="00D10696" w:rsidRDefault="00D10696" w:rsidP="00D10696">
      <w:pPr>
        <w:spacing w:before="100" w:beforeAutospacing="1" w:after="100" w:afterAutospacing="1"/>
        <w:jc w:val="both"/>
        <w:rPr>
          <w:rFonts w:asciiTheme="majorHAnsi" w:eastAsia="Times New Roman" w:hAnsiTheme="majorHAnsi" w:cs="Times New Roman"/>
          <w:sz w:val="28"/>
          <w:szCs w:val="28"/>
          <w:lang w:eastAsia="de-DE"/>
        </w:rPr>
      </w:pPr>
      <w:r w:rsidRPr="00D10696">
        <w:rPr>
          <w:rFonts w:asciiTheme="majorHAnsi" w:eastAsia="Times New Roman" w:hAnsiTheme="majorHAnsi" w:cs="Times New Roman"/>
          <w:sz w:val="28"/>
          <w:szCs w:val="28"/>
          <w:lang w:eastAsia="de-DE"/>
        </w:rPr>
        <w:t xml:space="preserve">Der Handel mit sogenannten Almosenablässen, für deren Gewinnung als Ablasswerk ein Geldbetrag gespendet werden musste, war ein besonders in der </w:t>
      </w:r>
      <w:hyperlink r:id="rId23" w:tooltip="Renaissance" w:history="1">
        <w:r w:rsidRPr="00D10696">
          <w:rPr>
            <w:rFonts w:asciiTheme="majorHAnsi" w:eastAsia="Times New Roman" w:hAnsiTheme="majorHAnsi" w:cs="Times New Roman"/>
            <w:sz w:val="28"/>
            <w:szCs w:val="28"/>
            <w:lang w:eastAsia="de-DE"/>
          </w:rPr>
          <w:t>Renaissancezeit</w:t>
        </w:r>
      </w:hyperlink>
      <w:r w:rsidRPr="00D10696">
        <w:rPr>
          <w:rFonts w:asciiTheme="majorHAnsi" w:eastAsia="Times New Roman" w:hAnsiTheme="majorHAnsi" w:cs="Times New Roman"/>
          <w:sz w:val="28"/>
          <w:szCs w:val="28"/>
          <w:lang w:eastAsia="de-DE"/>
        </w:rPr>
        <w:t xml:space="preserve"> verbreiteter Missbrauch. Er gilt als Anlass für den </w:t>
      </w:r>
      <w:hyperlink r:id="rId24" w:tooltip="95 Thesen" w:history="1">
        <w:r w:rsidRPr="00D10696">
          <w:rPr>
            <w:rFonts w:asciiTheme="majorHAnsi" w:eastAsia="Times New Roman" w:hAnsiTheme="majorHAnsi" w:cs="Times New Roman"/>
            <w:sz w:val="28"/>
            <w:szCs w:val="28"/>
            <w:lang w:eastAsia="de-DE"/>
          </w:rPr>
          <w:t>Thesenanschlag</w:t>
        </w:r>
      </w:hyperlink>
      <w:r w:rsidRPr="00D10696">
        <w:rPr>
          <w:rFonts w:asciiTheme="majorHAnsi" w:eastAsia="Times New Roman" w:hAnsiTheme="majorHAnsi" w:cs="Times New Roman"/>
          <w:sz w:val="28"/>
          <w:szCs w:val="28"/>
          <w:lang w:eastAsia="de-DE"/>
        </w:rPr>
        <w:t xml:space="preserve"> </w:t>
      </w:r>
      <w:hyperlink r:id="rId25" w:tooltip="Martin Luther" w:history="1">
        <w:r w:rsidRPr="00D10696">
          <w:rPr>
            <w:rFonts w:asciiTheme="majorHAnsi" w:eastAsia="Times New Roman" w:hAnsiTheme="majorHAnsi" w:cs="Times New Roman"/>
            <w:sz w:val="28"/>
            <w:szCs w:val="28"/>
            <w:lang w:eastAsia="de-DE"/>
          </w:rPr>
          <w:t>Martin Luthers</w:t>
        </w:r>
      </w:hyperlink>
      <w:r w:rsidRPr="00D10696">
        <w:rPr>
          <w:rFonts w:asciiTheme="majorHAnsi" w:eastAsia="Times New Roman" w:hAnsiTheme="majorHAnsi" w:cs="Times New Roman"/>
          <w:sz w:val="28"/>
          <w:szCs w:val="28"/>
          <w:lang w:eastAsia="de-DE"/>
        </w:rPr>
        <w:t xml:space="preserve"> und als ein Auslöser der </w:t>
      </w:r>
      <w:hyperlink r:id="rId26" w:tooltip="Reformation" w:history="1">
        <w:r w:rsidRPr="00D10696">
          <w:rPr>
            <w:rFonts w:asciiTheme="majorHAnsi" w:eastAsia="Times New Roman" w:hAnsiTheme="majorHAnsi" w:cs="Times New Roman"/>
            <w:sz w:val="28"/>
            <w:szCs w:val="28"/>
            <w:lang w:eastAsia="de-DE"/>
          </w:rPr>
          <w:t>Reformation</w:t>
        </w:r>
      </w:hyperlink>
      <w:r w:rsidRPr="00D10696">
        <w:rPr>
          <w:rFonts w:asciiTheme="majorHAnsi" w:eastAsia="Times New Roman" w:hAnsiTheme="majorHAnsi" w:cs="Times New Roman"/>
          <w:sz w:val="28"/>
          <w:szCs w:val="28"/>
          <w:lang w:eastAsia="de-DE"/>
        </w:rPr>
        <w:t xml:space="preserve"> in Deutschland. Mit Einkünften aus dem Ablasshandel hatten einige Päpste beträchtliche Geldsummen aus ganz Europa nach Rom gelenkt, die unter anderem für den Bau des </w:t>
      </w:r>
      <w:hyperlink r:id="rId27" w:tooltip="Petersdom" w:history="1">
        <w:r w:rsidRPr="00D10696">
          <w:rPr>
            <w:rFonts w:asciiTheme="majorHAnsi" w:eastAsia="Times New Roman" w:hAnsiTheme="majorHAnsi" w:cs="Times New Roman"/>
            <w:sz w:val="28"/>
            <w:szCs w:val="28"/>
            <w:lang w:eastAsia="de-DE"/>
          </w:rPr>
          <w:t>Petersdoms</w:t>
        </w:r>
      </w:hyperlink>
      <w:r w:rsidRPr="00D10696">
        <w:rPr>
          <w:rFonts w:asciiTheme="majorHAnsi" w:eastAsia="Times New Roman" w:hAnsiTheme="majorHAnsi" w:cs="Times New Roman"/>
          <w:sz w:val="28"/>
          <w:szCs w:val="28"/>
          <w:lang w:eastAsia="de-DE"/>
        </w:rPr>
        <w:t xml:space="preserve"> verwendet wurden. </w:t>
      </w:r>
      <w:hyperlink r:id="rId28" w:tooltip="Albrecht von Brandenburg" w:history="1">
        <w:r w:rsidRPr="00D10696">
          <w:rPr>
            <w:rFonts w:asciiTheme="majorHAnsi" w:eastAsia="Times New Roman" w:hAnsiTheme="majorHAnsi" w:cs="Times New Roman"/>
            <w:sz w:val="28"/>
            <w:szCs w:val="28"/>
            <w:lang w:eastAsia="de-DE"/>
          </w:rPr>
          <w:t>Albrecht von Brandenburg</w:t>
        </w:r>
      </w:hyperlink>
      <w:r w:rsidRPr="00D10696">
        <w:rPr>
          <w:rFonts w:asciiTheme="majorHAnsi" w:eastAsia="Times New Roman" w:hAnsiTheme="majorHAnsi" w:cs="Times New Roman"/>
          <w:sz w:val="28"/>
          <w:szCs w:val="28"/>
          <w:lang w:eastAsia="de-DE"/>
        </w:rPr>
        <w:t xml:space="preserve">, Bischof von Magdeburg, Halberstadt und Mainz, hatte mit dem Papst einen Ablasshandel durch den Dominikaner </w:t>
      </w:r>
      <w:hyperlink r:id="rId29" w:tooltip="Johann Tetzel" w:history="1">
        <w:r w:rsidRPr="00D10696">
          <w:rPr>
            <w:rFonts w:asciiTheme="majorHAnsi" w:eastAsia="Times New Roman" w:hAnsiTheme="majorHAnsi" w:cs="Times New Roman"/>
            <w:sz w:val="28"/>
            <w:szCs w:val="28"/>
            <w:lang w:eastAsia="de-DE"/>
          </w:rPr>
          <w:t>Johann Tetzel</w:t>
        </w:r>
      </w:hyperlink>
      <w:r w:rsidRPr="00D10696">
        <w:rPr>
          <w:rFonts w:asciiTheme="majorHAnsi" w:eastAsia="Times New Roman" w:hAnsiTheme="majorHAnsi" w:cs="Times New Roman"/>
          <w:sz w:val="28"/>
          <w:szCs w:val="28"/>
          <w:lang w:eastAsia="de-DE"/>
        </w:rPr>
        <w:t xml:space="preserve"> in Gang gesetzt. Albrecht, der sich vom Papst mehrere Bistümer hatte verleihen lassen, musste hohe Gebühren für diesen Verstoß gegen die Bestimmungen des </w:t>
      </w:r>
      <w:hyperlink r:id="rId30" w:tooltip="Kanonisches Recht" w:history="1">
        <w:r w:rsidRPr="00D10696">
          <w:rPr>
            <w:rFonts w:asciiTheme="majorHAnsi" w:eastAsia="Times New Roman" w:hAnsiTheme="majorHAnsi" w:cs="Times New Roman"/>
            <w:sz w:val="28"/>
            <w:szCs w:val="28"/>
            <w:lang w:eastAsia="de-DE"/>
          </w:rPr>
          <w:t>Kanonischen Rechts</w:t>
        </w:r>
      </w:hyperlink>
      <w:r w:rsidRPr="00D10696">
        <w:rPr>
          <w:rFonts w:asciiTheme="majorHAnsi" w:eastAsia="Times New Roman" w:hAnsiTheme="majorHAnsi" w:cs="Times New Roman"/>
          <w:sz w:val="28"/>
          <w:szCs w:val="28"/>
          <w:lang w:eastAsia="de-DE"/>
        </w:rPr>
        <w:t xml:space="preserve"> zahlen. Albrechts Provisionen aus dem Ablasshandel sollten dazu dienen, seine Schulden beim Bankhaus </w:t>
      </w:r>
      <w:hyperlink r:id="rId31" w:tooltip="Fugger" w:history="1">
        <w:r w:rsidRPr="00D10696">
          <w:rPr>
            <w:rFonts w:asciiTheme="majorHAnsi" w:eastAsia="Times New Roman" w:hAnsiTheme="majorHAnsi" w:cs="Times New Roman"/>
            <w:sz w:val="28"/>
            <w:szCs w:val="28"/>
            <w:lang w:eastAsia="de-DE"/>
          </w:rPr>
          <w:t>Fugger</w:t>
        </w:r>
      </w:hyperlink>
      <w:r w:rsidRPr="00D10696">
        <w:rPr>
          <w:rFonts w:asciiTheme="majorHAnsi" w:eastAsia="Times New Roman" w:hAnsiTheme="majorHAnsi" w:cs="Times New Roman"/>
          <w:sz w:val="28"/>
          <w:szCs w:val="28"/>
          <w:lang w:eastAsia="de-DE"/>
        </w:rPr>
        <w:t xml:space="preserve"> in Augsburg abzutragen, der Rest sollte bestimmungsgemäß nach Rom gehen.</w:t>
      </w:r>
    </w:p>
    <w:p w:rsidR="00D10696" w:rsidRPr="00D10696" w:rsidRDefault="00D10696" w:rsidP="00D10696">
      <w:pPr>
        <w:spacing w:before="100" w:beforeAutospacing="1" w:after="100" w:afterAutospacing="1"/>
        <w:jc w:val="both"/>
        <w:rPr>
          <w:rFonts w:asciiTheme="majorHAnsi" w:eastAsia="Times New Roman" w:hAnsiTheme="majorHAnsi" w:cs="Times New Roman"/>
          <w:sz w:val="28"/>
          <w:szCs w:val="28"/>
          <w:lang w:eastAsia="de-DE"/>
        </w:rPr>
      </w:pPr>
      <w:r w:rsidRPr="00D10696">
        <w:rPr>
          <w:rFonts w:asciiTheme="majorHAnsi" w:eastAsia="Times New Roman" w:hAnsiTheme="majorHAnsi" w:cs="Times New Roman"/>
          <w:sz w:val="28"/>
          <w:szCs w:val="28"/>
          <w:lang w:eastAsia="de-DE"/>
        </w:rPr>
        <w:t xml:space="preserve">Ablasshandel ist in der römisch-katholischen Kirche seit 1562 verboten und seit 1567 mit der Strafe der </w:t>
      </w:r>
      <w:hyperlink r:id="rId32" w:tooltip="Exkommunikation" w:history="1">
        <w:r w:rsidRPr="00D10696">
          <w:rPr>
            <w:rFonts w:asciiTheme="majorHAnsi" w:eastAsia="Times New Roman" w:hAnsiTheme="majorHAnsi" w:cs="Times New Roman"/>
            <w:sz w:val="28"/>
            <w:szCs w:val="28"/>
            <w:lang w:eastAsia="de-DE"/>
          </w:rPr>
          <w:t>Exkommunikation</w:t>
        </w:r>
      </w:hyperlink>
      <w:r w:rsidRPr="00D10696">
        <w:rPr>
          <w:rFonts w:asciiTheme="majorHAnsi" w:eastAsia="Times New Roman" w:hAnsiTheme="majorHAnsi" w:cs="Times New Roman"/>
          <w:sz w:val="28"/>
          <w:szCs w:val="28"/>
          <w:lang w:eastAsia="de-DE"/>
        </w:rPr>
        <w:t xml:space="preserve"> belegt</w:t>
      </w:r>
      <w:r w:rsidR="00FC6BF6">
        <w:rPr>
          <w:rFonts w:asciiTheme="majorHAnsi" w:eastAsia="Times New Roman" w:hAnsiTheme="majorHAnsi" w:cs="Times New Roman"/>
          <w:sz w:val="28"/>
          <w:szCs w:val="28"/>
          <w:lang w:eastAsia="de-DE"/>
        </w:rPr>
        <w:t>.</w:t>
      </w:r>
    </w:p>
    <w:p w:rsidR="00FC6BF6" w:rsidRDefault="00FC6BF6" w:rsidP="00D10696">
      <w:pPr>
        <w:pStyle w:val="StandardWeb"/>
        <w:spacing w:line="276" w:lineRule="auto"/>
        <w:jc w:val="both"/>
        <w:rPr>
          <w:rFonts w:asciiTheme="majorHAnsi" w:hAnsiTheme="majorHAnsi"/>
          <w:b/>
          <w:sz w:val="28"/>
          <w:szCs w:val="28"/>
        </w:rPr>
      </w:pPr>
    </w:p>
    <w:p w:rsidR="00C83092" w:rsidRPr="00C83092" w:rsidRDefault="00C83092" w:rsidP="00D10696">
      <w:pPr>
        <w:pStyle w:val="StandardWeb"/>
        <w:spacing w:line="276" w:lineRule="auto"/>
        <w:jc w:val="both"/>
        <w:rPr>
          <w:rFonts w:asciiTheme="majorHAnsi" w:hAnsiTheme="majorHAnsi"/>
          <w:b/>
          <w:sz w:val="28"/>
          <w:szCs w:val="28"/>
        </w:rPr>
      </w:pPr>
      <w:r w:rsidRPr="00C83092">
        <w:rPr>
          <w:rFonts w:asciiTheme="majorHAnsi" w:hAnsiTheme="majorHAnsi"/>
          <w:b/>
          <w:sz w:val="28"/>
          <w:szCs w:val="28"/>
        </w:rPr>
        <w:lastRenderedPageBreak/>
        <w:t>Impulse</w:t>
      </w:r>
      <w:r w:rsidR="00FC6BF6">
        <w:rPr>
          <w:rFonts w:asciiTheme="majorHAnsi" w:hAnsiTheme="majorHAnsi"/>
          <w:b/>
          <w:sz w:val="28"/>
          <w:szCs w:val="28"/>
        </w:rPr>
        <w:t xml:space="preserve"> für eine Diskussion/ein theologisches Gespräch</w:t>
      </w:r>
    </w:p>
    <w:p w:rsidR="00D10696" w:rsidRDefault="00D10696" w:rsidP="00FC6BF6">
      <w:pPr>
        <w:pStyle w:val="StandardWeb"/>
        <w:numPr>
          <w:ilvl w:val="0"/>
          <w:numId w:val="1"/>
        </w:numPr>
        <w:spacing w:line="276" w:lineRule="auto"/>
        <w:jc w:val="both"/>
        <w:rPr>
          <w:rFonts w:asciiTheme="majorHAnsi" w:hAnsiTheme="majorHAnsi"/>
          <w:sz w:val="28"/>
          <w:szCs w:val="28"/>
        </w:rPr>
      </w:pPr>
      <w:r w:rsidRPr="00D10696">
        <w:rPr>
          <w:rFonts w:asciiTheme="majorHAnsi" w:hAnsiTheme="majorHAnsi"/>
          <w:sz w:val="28"/>
          <w:szCs w:val="28"/>
        </w:rPr>
        <w:t xml:space="preserve">Ist man ein anderer </w:t>
      </w:r>
      <w:r w:rsidR="00FC6BF6">
        <w:rPr>
          <w:rFonts w:asciiTheme="majorHAnsi" w:hAnsiTheme="majorHAnsi"/>
          <w:sz w:val="28"/>
          <w:szCs w:val="28"/>
        </w:rPr>
        <w:t xml:space="preserve">Mensch, wenn man vom Jakobsweg </w:t>
      </w:r>
      <w:r w:rsidRPr="00D10696">
        <w:rPr>
          <w:rFonts w:asciiTheme="majorHAnsi" w:hAnsiTheme="majorHAnsi"/>
          <w:sz w:val="28"/>
          <w:szCs w:val="28"/>
        </w:rPr>
        <w:t>z</w:t>
      </w:r>
      <w:r w:rsidR="00C83092">
        <w:rPr>
          <w:rFonts w:asciiTheme="majorHAnsi" w:hAnsiTheme="majorHAnsi"/>
          <w:sz w:val="28"/>
          <w:szCs w:val="28"/>
        </w:rPr>
        <w:t>urückkehrt?</w:t>
      </w:r>
    </w:p>
    <w:p w:rsidR="00C83092" w:rsidRDefault="00C83092"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Verdient man für diesen Weg einen Ablass?</w:t>
      </w:r>
    </w:p>
    <w:p w:rsidR="00C83092" w:rsidRDefault="00C83092"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Wa</w:t>
      </w:r>
      <w:r w:rsidR="00FC6BF6">
        <w:rPr>
          <w:rFonts w:asciiTheme="majorHAnsi" w:hAnsiTheme="majorHAnsi"/>
          <w:sz w:val="28"/>
          <w:szCs w:val="28"/>
        </w:rPr>
        <w:t>rum gehen Menschen den Weg für v</w:t>
      </w:r>
      <w:r>
        <w:rPr>
          <w:rFonts w:asciiTheme="majorHAnsi" w:hAnsiTheme="majorHAnsi"/>
          <w:sz w:val="28"/>
          <w:szCs w:val="28"/>
        </w:rPr>
        <w:t>erstorbene Verwandte?</w:t>
      </w:r>
    </w:p>
    <w:p w:rsidR="00C83092" w:rsidRDefault="00FC6BF6"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Warum</w:t>
      </w:r>
      <w:r w:rsidR="00C83092">
        <w:rPr>
          <w:rFonts w:asciiTheme="majorHAnsi" w:hAnsiTheme="majorHAnsi"/>
          <w:sz w:val="28"/>
          <w:szCs w:val="28"/>
        </w:rPr>
        <w:t xml:space="preserve"> ist pilgern so populär?</w:t>
      </w:r>
    </w:p>
    <w:p w:rsidR="00FC6BF6" w:rsidRDefault="00FC6BF6"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Liebt Gott den Menschen nach dem Pilgern mehr?</w:t>
      </w:r>
    </w:p>
    <w:p w:rsidR="00FC6BF6" w:rsidRDefault="00FC6BF6"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Ist pilgern zum modernen Ablasshandeln geworden?</w:t>
      </w:r>
    </w:p>
    <w:p w:rsidR="00C83092" w:rsidRPr="00D10696" w:rsidRDefault="00FC6BF6" w:rsidP="00FC6BF6">
      <w:pPr>
        <w:pStyle w:val="StandardWeb"/>
        <w:numPr>
          <w:ilvl w:val="0"/>
          <w:numId w:val="1"/>
        </w:numPr>
        <w:spacing w:line="276" w:lineRule="auto"/>
        <w:jc w:val="both"/>
        <w:rPr>
          <w:rFonts w:asciiTheme="majorHAnsi" w:hAnsiTheme="majorHAnsi"/>
          <w:sz w:val="28"/>
          <w:szCs w:val="28"/>
        </w:rPr>
      </w:pPr>
      <w:r>
        <w:rPr>
          <w:rFonts w:asciiTheme="majorHAnsi" w:hAnsiTheme="majorHAnsi"/>
          <w:sz w:val="28"/>
          <w:szCs w:val="28"/>
        </w:rPr>
        <w:t>Steht das Pilgern den Ideen Luthers entgegen?</w:t>
      </w:r>
      <w:r w:rsidRPr="00D10696">
        <w:rPr>
          <w:rFonts w:asciiTheme="majorHAnsi" w:hAnsiTheme="majorHAnsi"/>
          <w:sz w:val="28"/>
          <w:szCs w:val="28"/>
        </w:rPr>
        <w:t xml:space="preserve"> </w:t>
      </w:r>
    </w:p>
    <w:p w:rsidR="00FC6BF6" w:rsidRDefault="00FC6BF6" w:rsidP="00FC6BF6">
      <w:pPr>
        <w:tabs>
          <w:tab w:val="left" w:pos="1110"/>
        </w:tabs>
        <w:jc w:val="both"/>
        <w:rPr>
          <w:rFonts w:asciiTheme="majorHAnsi" w:hAnsiTheme="majorHAnsi"/>
          <w:b/>
          <w:sz w:val="28"/>
          <w:szCs w:val="28"/>
        </w:rPr>
      </w:pPr>
    </w:p>
    <w:p w:rsidR="00D10696" w:rsidRPr="00FC6BF6" w:rsidRDefault="00D10696" w:rsidP="00FC6BF6">
      <w:pPr>
        <w:tabs>
          <w:tab w:val="left" w:pos="1110"/>
        </w:tabs>
        <w:jc w:val="both"/>
        <w:rPr>
          <w:rFonts w:asciiTheme="majorHAnsi" w:hAnsiTheme="majorHAnsi"/>
          <w:b/>
          <w:sz w:val="28"/>
          <w:szCs w:val="28"/>
        </w:rPr>
      </w:pPr>
      <w:r w:rsidRPr="00FC6BF6">
        <w:rPr>
          <w:rFonts w:asciiTheme="majorHAnsi" w:hAnsiTheme="majorHAnsi"/>
          <w:b/>
          <w:sz w:val="28"/>
          <w:szCs w:val="28"/>
        </w:rPr>
        <w:t xml:space="preserve">Der Text der </w:t>
      </w:r>
      <w:r w:rsidR="00FC6BF6">
        <w:rPr>
          <w:rFonts w:asciiTheme="majorHAnsi" w:hAnsiTheme="majorHAnsi"/>
          <w:b/>
          <w:sz w:val="28"/>
          <w:szCs w:val="28"/>
        </w:rPr>
        <w:t>„</w:t>
      </w:r>
      <w:r w:rsidRPr="00FC6BF6">
        <w:rPr>
          <w:rFonts w:asciiTheme="majorHAnsi" w:hAnsiTheme="majorHAnsi"/>
          <w:b/>
          <w:sz w:val="28"/>
          <w:szCs w:val="28"/>
        </w:rPr>
        <w:t>Comp</w:t>
      </w:r>
      <w:r w:rsidR="00FC6BF6">
        <w:rPr>
          <w:rFonts w:asciiTheme="majorHAnsi" w:hAnsiTheme="majorHAnsi"/>
          <w:b/>
          <w:sz w:val="28"/>
          <w:szCs w:val="28"/>
        </w:rPr>
        <w:t xml:space="preserve">ostela“ </w:t>
      </w:r>
      <w:r w:rsidR="00FC6BF6" w:rsidRPr="00FC6BF6">
        <w:rPr>
          <w:rFonts w:asciiTheme="majorHAnsi" w:hAnsiTheme="majorHAnsi"/>
          <w:sz w:val="28"/>
          <w:szCs w:val="28"/>
        </w:rPr>
        <w:t>(Pilgerurkunde)</w:t>
      </w:r>
      <w:r w:rsidR="00FC6BF6" w:rsidRPr="00FC6BF6">
        <w:rPr>
          <w:rFonts w:asciiTheme="majorHAnsi" w:hAnsiTheme="majorHAnsi"/>
          <w:b/>
          <w:sz w:val="28"/>
          <w:szCs w:val="28"/>
        </w:rPr>
        <w:t xml:space="preserve"> </w:t>
      </w:r>
      <w:r w:rsidRPr="00FC6BF6">
        <w:rPr>
          <w:rFonts w:asciiTheme="majorHAnsi" w:hAnsiTheme="majorHAnsi"/>
          <w:b/>
          <w:sz w:val="28"/>
          <w:szCs w:val="28"/>
        </w:rPr>
        <w:t>lautet übersetzt:</w:t>
      </w:r>
    </w:p>
    <w:p w:rsidR="00D10696" w:rsidRPr="00FC6BF6" w:rsidRDefault="00D10696" w:rsidP="00FC6BF6">
      <w:pPr>
        <w:tabs>
          <w:tab w:val="left" w:pos="1110"/>
        </w:tabs>
        <w:jc w:val="both"/>
        <w:rPr>
          <w:rFonts w:asciiTheme="majorHAnsi" w:hAnsiTheme="majorHAnsi"/>
          <w:sz w:val="28"/>
          <w:szCs w:val="28"/>
        </w:rPr>
      </w:pPr>
      <w:r w:rsidRPr="00FC6BF6">
        <w:rPr>
          <w:rFonts w:asciiTheme="majorHAnsi" w:hAnsiTheme="majorHAnsi"/>
          <w:sz w:val="28"/>
          <w:szCs w:val="28"/>
        </w:rPr>
        <w:t>„Das Kapitel dieser Heiligen Apostolischen Erzbischöflichen Compostelanischen Kathedrale, Besitzer des Siegels des Altars des Apostels St. Jakobus, bestätigt allen Gläubigen und Pilgern, die von überall her kommend, mit Andacht oder auf Grund eines Gelübdes vor dem Apostel Jakobus, der ebenfalls der Schutzpatrons Spaniens ist, niederfallen, wird beurkundet, im Beisein aller, die diese Urkunde lesen möchten, dass: Herr</w:t>
      </w:r>
      <w:r w:rsidR="00FC6BF6" w:rsidRPr="00FC6BF6">
        <w:rPr>
          <w:rFonts w:asciiTheme="majorHAnsi" w:hAnsiTheme="majorHAnsi"/>
          <w:sz w:val="28"/>
          <w:szCs w:val="28"/>
        </w:rPr>
        <w:t>/Frau</w:t>
      </w:r>
      <w:r w:rsidRPr="00FC6BF6">
        <w:rPr>
          <w:rFonts w:asciiTheme="majorHAnsi" w:hAnsiTheme="majorHAnsi"/>
          <w:sz w:val="28"/>
          <w:szCs w:val="28"/>
        </w:rPr>
        <w:t xml:space="preserve"> ….  mit Andacht und mit einer christlichen Motivation (pietatis causa) diese hochheilige Kirche besuchte.</w:t>
      </w:r>
      <w:r w:rsidR="00FC6BF6" w:rsidRPr="00FC6BF6">
        <w:rPr>
          <w:rFonts w:asciiTheme="majorHAnsi" w:hAnsiTheme="majorHAnsi"/>
          <w:sz w:val="28"/>
          <w:szCs w:val="28"/>
        </w:rPr>
        <w:t xml:space="preserve"> </w:t>
      </w:r>
      <w:r w:rsidRPr="00FC6BF6">
        <w:rPr>
          <w:rFonts w:asciiTheme="majorHAnsi" w:hAnsiTheme="majorHAnsi"/>
          <w:sz w:val="28"/>
          <w:szCs w:val="28"/>
        </w:rPr>
        <w:t>Aus diesem Grunde überreiche ich ihm diese Urkunde, die mit dem Siegel dieser Heiligen Kirche bekräftigt ist. Überreicht in Santiago de Compostela am … Anno Domini 200x“</w:t>
      </w:r>
    </w:p>
    <w:p w:rsidR="00D10696" w:rsidRPr="00D10696" w:rsidRDefault="00D10696" w:rsidP="00D10696">
      <w:pPr>
        <w:tabs>
          <w:tab w:val="left" w:pos="1110"/>
        </w:tabs>
        <w:jc w:val="both"/>
        <w:rPr>
          <w:rFonts w:asciiTheme="majorHAnsi" w:hAnsiTheme="majorHAnsi"/>
          <w:sz w:val="28"/>
          <w:szCs w:val="28"/>
        </w:rPr>
      </w:pPr>
    </w:p>
    <w:sectPr w:rsidR="00D10696" w:rsidRPr="00D10696">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F4" w:rsidRDefault="002475F4" w:rsidP="00FC6BF6">
      <w:pPr>
        <w:spacing w:after="0" w:line="240" w:lineRule="auto"/>
      </w:pPr>
      <w:r>
        <w:separator/>
      </w:r>
    </w:p>
  </w:endnote>
  <w:endnote w:type="continuationSeparator" w:id="0">
    <w:p w:rsidR="002475F4" w:rsidRDefault="002475F4" w:rsidP="00FC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819540"/>
      <w:docPartObj>
        <w:docPartGallery w:val="Page Numbers (Bottom of Page)"/>
        <w:docPartUnique/>
      </w:docPartObj>
    </w:sdtPr>
    <w:sdtEndPr/>
    <w:sdtContent>
      <w:p w:rsidR="00FC6BF6" w:rsidRDefault="00FC6BF6">
        <w:pPr>
          <w:pStyle w:val="Fuzeile"/>
          <w:jc w:val="right"/>
        </w:pPr>
        <w:r>
          <w:fldChar w:fldCharType="begin"/>
        </w:r>
        <w:r>
          <w:instrText>PAGE   \* MERGEFORMAT</w:instrText>
        </w:r>
        <w:r>
          <w:fldChar w:fldCharType="separate"/>
        </w:r>
        <w:r w:rsidR="00083BBA">
          <w:rPr>
            <w:noProof/>
          </w:rPr>
          <w:t>1</w:t>
        </w:r>
        <w:r>
          <w:fldChar w:fldCharType="end"/>
        </w:r>
      </w:p>
    </w:sdtContent>
  </w:sdt>
  <w:p w:rsidR="00FC6BF6" w:rsidRDefault="00FC6B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F4" w:rsidRDefault="002475F4" w:rsidP="00FC6BF6">
      <w:pPr>
        <w:spacing w:after="0" w:line="240" w:lineRule="auto"/>
      </w:pPr>
      <w:r>
        <w:separator/>
      </w:r>
    </w:p>
  </w:footnote>
  <w:footnote w:type="continuationSeparator" w:id="0">
    <w:p w:rsidR="002475F4" w:rsidRDefault="002475F4" w:rsidP="00FC6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B6AC2"/>
    <w:multiLevelType w:val="hybridMultilevel"/>
    <w:tmpl w:val="DDFA3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96"/>
    <w:rsid w:val="00083BBA"/>
    <w:rsid w:val="002475F4"/>
    <w:rsid w:val="0061131F"/>
    <w:rsid w:val="00C83092"/>
    <w:rsid w:val="00D10696"/>
    <w:rsid w:val="00DA729C"/>
    <w:rsid w:val="00E27AC6"/>
    <w:rsid w:val="00FC6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1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D10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69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D10696"/>
    <w:rPr>
      <w:color w:val="0000FF"/>
      <w:u w:val="single"/>
    </w:rPr>
  </w:style>
  <w:style w:type="paragraph" w:styleId="StandardWeb">
    <w:name w:val="Normal (Web)"/>
    <w:basedOn w:val="Standard"/>
    <w:uiPriority w:val="99"/>
    <w:unhideWhenUsed/>
    <w:rsid w:val="00D106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106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696"/>
    <w:rPr>
      <w:rFonts w:ascii="Tahoma" w:hAnsi="Tahoma" w:cs="Tahoma"/>
      <w:sz w:val="16"/>
      <w:szCs w:val="16"/>
    </w:rPr>
  </w:style>
  <w:style w:type="character" w:customStyle="1" w:styleId="berschrift2Zchn">
    <w:name w:val="Überschrift 2 Zchn"/>
    <w:basedOn w:val="Absatz-Standardschriftart"/>
    <w:link w:val="berschrift2"/>
    <w:uiPriority w:val="9"/>
    <w:semiHidden/>
    <w:rsid w:val="00D1069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C6BF6"/>
    <w:pPr>
      <w:ind w:left="720"/>
      <w:contextualSpacing/>
    </w:pPr>
  </w:style>
  <w:style w:type="paragraph" w:styleId="Kopfzeile">
    <w:name w:val="header"/>
    <w:basedOn w:val="Standard"/>
    <w:link w:val="KopfzeileZchn"/>
    <w:uiPriority w:val="99"/>
    <w:unhideWhenUsed/>
    <w:rsid w:val="00FC6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BF6"/>
  </w:style>
  <w:style w:type="paragraph" w:styleId="Fuzeile">
    <w:name w:val="footer"/>
    <w:basedOn w:val="Standard"/>
    <w:link w:val="FuzeileZchn"/>
    <w:uiPriority w:val="99"/>
    <w:unhideWhenUsed/>
    <w:rsid w:val="00FC6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D1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D106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0696"/>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D10696"/>
    <w:rPr>
      <w:color w:val="0000FF"/>
      <w:u w:val="single"/>
    </w:rPr>
  </w:style>
  <w:style w:type="paragraph" w:styleId="StandardWeb">
    <w:name w:val="Normal (Web)"/>
    <w:basedOn w:val="Standard"/>
    <w:uiPriority w:val="99"/>
    <w:unhideWhenUsed/>
    <w:rsid w:val="00D106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106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696"/>
    <w:rPr>
      <w:rFonts w:ascii="Tahoma" w:hAnsi="Tahoma" w:cs="Tahoma"/>
      <w:sz w:val="16"/>
      <w:szCs w:val="16"/>
    </w:rPr>
  </w:style>
  <w:style w:type="character" w:customStyle="1" w:styleId="berschrift2Zchn">
    <w:name w:val="Überschrift 2 Zchn"/>
    <w:basedOn w:val="Absatz-Standardschriftart"/>
    <w:link w:val="berschrift2"/>
    <w:uiPriority w:val="9"/>
    <w:semiHidden/>
    <w:rsid w:val="00D10696"/>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FC6BF6"/>
    <w:pPr>
      <w:ind w:left="720"/>
      <w:contextualSpacing/>
    </w:pPr>
  </w:style>
  <w:style w:type="paragraph" w:styleId="Kopfzeile">
    <w:name w:val="header"/>
    <w:basedOn w:val="Standard"/>
    <w:link w:val="KopfzeileZchn"/>
    <w:uiPriority w:val="99"/>
    <w:unhideWhenUsed/>
    <w:rsid w:val="00FC6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BF6"/>
  </w:style>
  <w:style w:type="paragraph" w:styleId="Fuzeile">
    <w:name w:val="footer"/>
    <w:basedOn w:val="Standard"/>
    <w:link w:val="FuzeileZchn"/>
    <w:uiPriority w:val="99"/>
    <w:unhideWhenUsed/>
    <w:rsid w:val="00FC6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80808">
      <w:bodyDiv w:val="1"/>
      <w:marLeft w:val="0"/>
      <w:marRight w:val="0"/>
      <w:marTop w:val="0"/>
      <w:marBottom w:val="0"/>
      <w:divBdr>
        <w:top w:val="none" w:sz="0" w:space="0" w:color="auto"/>
        <w:left w:val="none" w:sz="0" w:space="0" w:color="auto"/>
        <w:bottom w:val="none" w:sz="0" w:space="0" w:color="auto"/>
        <w:right w:val="none" w:sz="0" w:space="0" w:color="auto"/>
      </w:divBdr>
    </w:div>
    <w:div w:id="695271962">
      <w:bodyDiv w:val="1"/>
      <w:marLeft w:val="0"/>
      <w:marRight w:val="0"/>
      <w:marTop w:val="0"/>
      <w:marBottom w:val="0"/>
      <w:divBdr>
        <w:top w:val="none" w:sz="0" w:space="0" w:color="auto"/>
        <w:left w:val="none" w:sz="0" w:space="0" w:color="auto"/>
        <w:bottom w:val="none" w:sz="0" w:space="0" w:color="auto"/>
        <w:right w:val="none" w:sz="0" w:space="0" w:color="auto"/>
      </w:divBdr>
    </w:div>
    <w:div w:id="1446584886">
      <w:bodyDiv w:val="1"/>
      <w:marLeft w:val="0"/>
      <w:marRight w:val="0"/>
      <w:marTop w:val="0"/>
      <w:marBottom w:val="0"/>
      <w:divBdr>
        <w:top w:val="none" w:sz="0" w:space="0" w:color="auto"/>
        <w:left w:val="none" w:sz="0" w:space="0" w:color="auto"/>
        <w:bottom w:val="none" w:sz="0" w:space="0" w:color="auto"/>
        <w:right w:val="none" w:sz="0" w:space="0" w:color="auto"/>
      </w:divBdr>
    </w:div>
    <w:div w:id="2099593544">
      <w:bodyDiv w:val="1"/>
      <w:marLeft w:val="0"/>
      <w:marRight w:val="0"/>
      <w:marTop w:val="0"/>
      <w:marBottom w:val="0"/>
      <w:divBdr>
        <w:top w:val="none" w:sz="0" w:space="0" w:color="auto"/>
        <w:left w:val="none" w:sz="0" w:space="0" w:color="auto"/>
        <w:bottom w:val="none" w:sz="0" w:space="0" w:color="auto"/>
        <w:right w:val="none" w:sz="0" w:space="0" w:color="auto"/>
      </w:divBdr>
      <w:divsChild>
        <w:div w:id="1736390312">
          <w:marLeft w:val="0"/>
          <w:marRight w:val="0"/>
          <w:marTop w:val="0"/>
          <w:marBottom w:val="0"/>
          <w:divBdr>
            <w:top w:val="none" w:sz="0" w:space="0" w:color="auto"/>
            <w:left w:val="none" w:sz="0" w:space="0" w:color="auto"/>
            <w:bottom w:val="none" w:sz="0" w:space="0" w:color="auto"/>
            <w:right w:val="none" w:sz="0" w:space="0" w:color="auto"/>
          </w:divBdr>
          <w:divsChild>
            <w:div w:id="824664107">
              <w:marLeft w:val="0"/>
              <w:marRight w:val="0"/>
              <w:marTop w:val="0"/>
              <w:marBottom w:val="0"/>
              <w:divBdr>
                <w:top w:val="none" w:sz="0" w:space="0" w:color="auto"/>
                <w:left w:val="none" w:sz="0" w:space="0" w:color="auto"/>
                <w:bottom w:val="none" w:sz="0" w:space="0" w:color="auto"/>
                <w:right w:val="none" w:sz="0" w:space="0" w:color="auto"/>
              </w:divBdr>
            </w:div>
          </w:divsChild>
        </w:div>
        <w:div w:id="1624849940">
          <w:marLeft w:val="0"/>
          <w:marRight w:val="0"/>
          <w:marTop w:val="0"/>
          <w:marBottom w:val="0"/>
          <w:divBdr>
            <w:top w:val="none" w:sz="0" w:space="0" w:color="auto"/>
            <w:left w:val="none" w:sz="0" w:space="0" w:color="auto"/>
            <w:bottom w:val="none" w:sz="0" w:space="0" w:color="auto"/>
            <w:right w:val="none" w:sz="0" w:space="0" w:color="auto"/>
          </w:divBdr>
          <w:divsChild>
            <w:div w:id="2130465870">
              <w:marLeft w:val="0"/>
              <w:marRight w:val="0"/>
              <w:marTop w:val="0"/>
              <w:marBottom w:val="0"/>
              <w:divBdr>
                <w:top w:val="none" w:sz="0" w:space="0" w:color="auto"/>
                <w:left w:val="none" w:sz="0" w:space="0" w:color="auto"/>
                <w:bottom w:val="none" w:sz="0" w:space="0" w:color="auto"/>
                <w:right w:val="none" w:sz="0" w:space="0" w:color="auto"/>
              </w:divBdr>
              <w:divsChild>
                <w:div w:id="170355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7761">
          <w:marLeft w:val="0"/>
          <w:marRight w:val="0"/>
          <w:marTop w:val="0"/>
          <w:marBottom w:val="0"/>
          <w:divBdr>
            <w:top w:val="none" w:sz="0" w:space="0" w:color="auto"/>
            <w:left w:val="none" w:sz="0" w:space="0" w:color="auto"/>
            <w:bottom w:val="none" w:sz="0" w:space="0" w:color="auto"/>
            <w:right w:val="none" w:sz="0" w:space="0" w:color="auto"/>
          </w:divBdr>
          <w:divsChild>
            <w:div w:id="616529419">
              <w:marLeft w:val="0"/>
              <w:marRight w:val="0"/>
              <w:marTop w:val="0"/>
              <w:marBottom w:val="0"/>
              <w:divBdr>
                <w:top w:val="none" w:sz="0" w:space="0" w:color="auto"/>
                <w:left w:val="none" w:sz="0" w:space="0" w:color="auto"/>
                <w:bottom w:val="none" w:sz="0" w:space="0" w:color="auto"/>
                <w:right w:val="none" w:sz="0" w:space="0" w:color="auto"/>
              </w:divBdr>
            </w:div>
          </w:divsChild>
        </w:div>
        <w:div w:id="1257445038">
          <w:marLeft w:val="0"/>
          <w:marRight w:val="0"/>
          <w:marTop w:val="0"/>
          <w:marBottom w:val="0"/>
          <w:divBdr>
            <w:top w:val="none" w:sz="0" w:space="0" w:color="auto"/>
            <w:left w:val="none" w:sz="0" w:space="0" w:color="auto"/>
            <w:bottom w:val="none" w:sz="0" w:space="0" w:color="auto"/>
            <w:right w:val="none" w:sz="0" w:space="0" w:color="auto"/>
          </w:divBdr>
          <w:divsChild>
            <w:div w:id="756829802">
              <w:marLeft w:val="0"/>
              <w:marRight w:val="0"/>
              <w:marTop w:val="0"/>
              <w:marBottom w:val="0"/>
              <w:divBdr>
                <w:top w:val="none" w:sz="0" w:space="0" w:color="auto"/>
                <w:left w:val="none" w:sz="0" w:space="0" w:color="auto"/>
                <w:bottom w:val="none" w:sz="0" w:space="0" w:color="auto"/>
                <w:right w:val="none" w:sz="0" w:space="0" w:color="auto"/>
              </w:divBdr>
              <w:divsChild>
                <w:div w:id="18141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9238">
          <w:marLeft w:val="0"/>
          <w:marRight w:val="0"/>
          <w:marTop w:val="0"/>
          <w:marBottom w:val="0"/>
          <w:divBdr>
            <w:top w:val="none" w:sz="0" w:space="0" w:color="auto"/>
            <w:left w:val="none" w:sz="0" w:space="0" w:color="auto"/>
            <w:bottom w:val="none" w:sz="0" w:space="0" w:color="auto"/>
            <w:right w:val="none" w:sz="0" w:space="0" w:color="auto"/>
          </w:divBdr>
          <w:divsChild>
            <w:div w:id="228536445">
              <w:marLeft w:val="0"/>
              <w:marRight w:val="0"/>
              <w:marTop w:val="0"/>
              <w:marBottom w:val="0"/>
              <w:divBdr>
                <w:top w:val="none" w:sz="0" w:space="0" w:color="auto"/>
                <w:left w:val="none" w:sz="0" w:space="0" w:color="auto"/>
                <w:bottom w:val="none" w:sz="0" w:space="0" w:color="auto"/>
                <w:right w:val="none" w:sz="0" w:space="0" w:color="auto"/>
              </w:divBdr>
            </w:div>
          </w:divsChild>
        </w:div>
        <w:div w:id="389306651">
          <w:marLeft w:val="0"/>
          <w:marRight w:val="0"/>
          <w:marTop w:val="0"/>
          <w:marBottom w:val="0"/>
          <w:divBdr>
            <w:top w:val="none" w:sz="0" w:space="0" w:color="auto"/>
            <w:left w:val="none" w:sz="0" w:space="0" w:color="auto"/>
            <w:bottom w:val="none" w:sz="0" w:space="0" w:color="auto"/>
            <w:right w:val="none" w:sz="0" w:space="0" w:color="auto"/>
          </w:divBdr>
          <w:divsChild>
            <w:div w:id="1834249521">
              <w:marLeft w:val="0"/>
              <w:marRight w:val="0"/>
              <w:marTop w:val="0"/>
              <w:marBottom w:val="0"/>
              <w:divBdr>
                <w:top w:val="none" w:sz="0" w:space="0" w:color="auto"/>
                <w:left w:val="none" w:sz="0" w:space="0" w:color="auto"/>
                <w:bottom w:val="none" w:sz="0" w:space="0" w:color="auto"/>
                <w:right w:val="none" w:sz="0" w:space="0" w:color="auto"/>
              </w:divBdr>
              <w:divsChild>
                <w:div w:id="12052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Indulgenz" TargetMode="External"/><Relationship Id="rId13" Type="http://schemas.openxmlformats.org/officeDocument/2006/relationships/hyperlink" Target="https://de.wikipedia.org/wiki/Fegefeuer" TargetMode="External"/><Relationship Id="rId18" Type="http://schemas.openxmlformats.org/officeDocument/2006/relationships/hyperlink" Target="https://de.wikipedia.org/wiki/Gebet" TargetMode="External"/><Relationship Id="rId26" Type="http://schemas.openxmlformats.org/officeDocument/2006/relationships/hyperlink" Target="https://de.wikipedia.org/wiki/Reformation" TargetMode="External"/><Relationship Id="rId3" Type="http://schemas.microsoft.com/office/2007/relationships/stylesWithEffects" Target="stylesWithEffects.xml"/><Relationship Id="rId21" Type="http://schemas.openxmlformats.org/officeDocument/2006/relationships/hyperlink" Target="https://de.wikipedia.org/wiki/Seelenhei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wikipedia.org/wiki/Gnade" TargetMode="External"/><Relationship Id="rId17" Type="http://schemas.openxmlformats.org/officeDocument/2006/relationships/hyperlink" Target="https://de.wikipedia.org/wiki/Wallfahrt" TargetMode="External"/><Relationship Id="rId25" Type="http://schemas.openxmlformats.org/officeDocument/2006/relationships/hyperlink" Target="https://de.wikipedia.org/wiki/Martin_Luthe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e.wikipedia.org/wiki/Ablass" TargetMode="External"/><Relationship Id="rId20" Type="http://schemas.openxmlformats.org/officeDocument/2006/relationships/hyperlink" Target="https://de.wikipedia.org/wiki/Kommunion" TargetMode="External"/><Relationship Id="rId29" Type="http://schemas.openxmlformats.org/officeDocument/2006/relationships/hyperlink" Target="https://de.wikipedia.org/wiki/Johann_Tetz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wikipedia.org/wiki/Theologie" TargetMode="External"/><Relationship Id="rId24" Type="http://schemas.openxmlformats.org/officeDocument/2006/relationships/hyperlink" Target="https://de.wikipedia.org/wiki/95_Thesen" TargetMode="External"/><Relationship Id="rId32" Type="http://schemas.openxmlformats.org/officeDocument/2006/relationships/hyperlink" Target="https://de.wikipedia.org/wiki/Exkommunikation" TargetMode="External"/><Relationship Id="rId5" Type="http://schemas.openxmlformats.org/officeDocument/2006/relationships/webSettings" Target="webSettings.xml"/><Relationship Id="rId15" Type="http://schemas.openxmlformats.org/officeDocument/2006/relationships/hyperlink" Target="https://de.wikipedia.org/wiki/Ablass" TargetMode="External"/><Relationship Id="rId23" Type="http://schemas.openxmlformats.org/officeDocument/2006/relationships/hyperlink" Target="https://de.wikipedia.org/wiki/Renaissance" TargetMode="External"/><Relationship Id="rId28" Type="http://schemas.openxmlformats.org/officeDocument/2006/relationships/hyperlink" Target="https://de.wikipedia.org/wiki/Albrecht_von_Brandenburg" TargetMode="External"/><Relationship Id="rId10" Type="http://schemas.openxmlformats.org/officeDocument/2006/relationships/hyperlink" Target="https://de.wikipedia.org/wiki/R%C3%B6misch-katholische_Kirche" TargetMode="External"/><Relationship Id="rId19" Type="http://schemas.openxmlformats.org/officeDocument/2006/relationships/hyperlink" Target="https://de.wikipedia.org/wiki/Beichte" TargetMode="External"/><Relationship Id="rId31" Type="http://schemas.openxmlformats.org/officeDocument/2006/relationships/hyperlink" Target="https://de.wikipedia.org/wiki/Fugger" TargetMode="External"/><Relationship Id="rId4" Type="http://schemas.openxmlformats.org/officeDocument/2006/relationships/settings" Target="settings.xml"/><Relationship Id="rId9" Type="http://schemas.openxmlformats.org/officeDocument/2006/relationships/hyperlink" Target="https://de.wikipedia.org/wiki/Latein" TargetMode="External"/><Relationship Id="rId14" Type="http://schemas.openxmlformats.org/officeDocument/2006/relationships/hyperlink" Target="https://de.wikipedia.org/wiki/S%C3%BCnde" TargetMode="External"/><Relationship Id="rId22" Type="http://schemas.openxmlformats.org/officeDocument/2006/relationships/hyperlink" Target="https://de.wikipedia.org/wiki/Ablassbrief" TargetMode="External"/><Relationship Id="rId27" Type="http://schemas.openxmlformats.org/officeDocument/2006/relationships/hyperlink" Target="https://de.wikipedia.org/wiki/Petersdom" TargetMode="External"/><Relationship Id="rId30" Type="http://schemas.openxmlformats.org/officeDocument/2006/relationships/hyperlink" Target="https://de.wikipedia.org/wiki/Kanonisches_Recht" TargetMode="External"/><Relationship Id="rId35"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5641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2016-10-25T16:58:00Z</cp:lastPrinted>
  <dcterms:created xsi:type="dcterms:W3CDTF">2016-11-03T09:10:00Z</dcterms:created>
  <dcterms:modified xsi:type="dcterms:W3CDTF">2016-11-03T09:10:00Z</dcterms:modified>
</cp:coreProperties>
</file>